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773E5" w14:textId="77777777" w:rsidR="00646E84" w:rsidRPr="00646E84" w:rsidRDefault="00646E84" w:rsidP="00646E8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446719-2026 - Procedura konkurencyjna</w:t>
      </w:r>
    </w:p>
    <w:p w14:paraId="3605C646" w14:textId="77777777" w:rsidR="00646E84" w:rsidRPr="00646E84" w:rsidRDefault="00646E84" w:rsidP="00646E8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Urządzenia medyczne – Dostawa ortopedycznego robota chirurgicznego wraz z wyposażeniem oraz dostawami sukcesywnymi materiałów zużywalnych / jednorazowych</w:t>
      </w:r>
    </w:p>
    <w:p w14:paraId="16943A1C" w14:textId="77777777" w:rsidR="00646E84" w:rsidRPr="00646E84" w:rsidRDefault="00646E84" w:rsidP="00646E8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123/2026 30/06/2026</w:t>
      </w:r>
    </w:p>
    <w:p w14:paraId="4F85FB65" w14:textId="77777777" w:rsidR="00646E84" w:rsidRPr="00646E84" w:rsidRDefault="00646E84" w:rsidP="00646E8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620A2682" w14:textId="77777777" w:rsidR="00646E84" w:rsidRPr="00646E84" w:rsidRDefault="00646E84" w:rsidP="00646E8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A743AB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17FE6BF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68157A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B0D330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46A9F2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9697E4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F1D559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3692A6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048C228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0F14A97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6B55A8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ortopedycznego robota chirurgicznego wraz z wyposażeniem oraz dostawami sukcesywnymi materiałów zużywalnych / jednorazowych</w:t>
      </w:r>
    </w:p>
    <w:p w14:paraId="165F886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ortopedycznego robota chirurgicznego wraz z wyposażeniem oraz dostawami sukcesywnymi materiałów zużywalnych / jednorazowych zgodnie ze specyfikacją techniczną i zapisami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A016FB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7770ed0a-e905-4902-9a9f-53ea86bf2790</w:t>
      </w:r>
    </w:p>
    <w:p w14:paraId="5427F9E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71/2026</w:t>
      </w:r>
    </w:p>
    <w:p w14:paraId="1CAAE9C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3D6A55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C911F9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674E34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40005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B59285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366DC12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medyczne, 33169000 Przyrządy chirurgiczne, 33162000 Urządzenia i przyrządy używane na salach operacyjnych</w:t>
      </w:r>
    </w:p>
    <w:p w14:paraId="2B98322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8C8464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63DCCC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BE652E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E07228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C3D71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1EEBC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3486FD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CF73B4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Specyfikacja techniczna; Karty techniczne, foldery lub katalogi potwierdzające parametry techniczne oferowanego urządzenia, instrukcja obsługi przedmiotu zamówienia w języku polskim - dotyczy urządzenia; deklaracja (e) zgodności CE (WE) - dotyczy urządzenia, kopia zgłoszenia produktu do URLWMIBP - dotyczy urządzenia,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Krajowego Rejestru Karnego; Dokumenty podmiotów zagranicznych: Dokument potwierdzający niezaleganie z opłacaniem podatków, opłat lub składek na ubezpieczenie społeczne lub zdrowotne; Dokument potwierdzający, że nie otwarto likwidacji wykonawcy; Informacja z odpowiedniego rejestru lub inny równoważny dokument; Zamawiający przewiduje wezwanie do złożenia lub uzupełnienia przedmiotowych środków dowodowych zgodnie z treścią art. 107 ust. 2 ustawy Pzp, z zastrzeżeniem art. </w:t>
      </w: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107 ust. 3 ustawy Pzp,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03AA317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333994AB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3092FE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27F845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103D14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A80269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pkt. 1 lit. a) oraz art. 108 ust. 1 pkt. 2 ustawy Pzp</w:t>
      </w:r>
    </w:p>
    <w:p w14:paraId="71558FF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Praca dzieci i inne formy handlu ludźmi: art.108 ust. 1 pkt. 1 lit.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b,f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oraz art. 108 ust. 1 pkt. 2 ustawy Pzp</w:t>
      </w:r>
    </w:p>
    <w:p w14:paraId="7A8056D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pkt. 1 lit. c) oraz art. 108 ust. 1 pkt. 2 ustawy Pzp</w:t>
      </w:r>
    </w:p>
    <w:p w14:paraId="2890A4E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pkt. 1 lit. d) oraz art. 108 ust. 1 pkt. 2 ustawy Pzp</w:t>
      </w:r>
    </w:p>
    <w:p w14:paraId="5013760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pkt. 1 lit. e) oraz art. 108 ust. 1 pkt. 2 ustawy Pzp</w:t>
      </w:r>
    </w:p>
    <w:p w14:paraId="15A2EBC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art.108 ust. 1 pkt. 1 lit. g) oraz art. 108 ust. 1 pkt. 2 ustawy Pzp</w:t>
      </w:r>
    </w:p>
    <w:p w14:paraId="263B8B2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pkt. 1 lit. h) oraz art. 108 ust. 1 pkt. 2 ustawy Pzp</w:t>
      </w:r>
    </w:p>
    <w:p w14:paraId="555645E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art.108 ust. 1 pkt. 3 oraz art. 109 ust. 1 pkt. 1 ustawy Pzp</w:t>
      </w:r>
    </w:p>
    <w:p w14:paraId="69C4E75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pkt. 3 oraz art. 109 ust. 1 pkt. 1 ustawy Pzp</w:t>
      </w:r>
    </w:p>
    <w:p w14:paraId="41EAE8F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6BF7293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art.108 ust. 1 pkt. 5 ustawy Pzp.</w:t>
      </w:r>
    </w:p>
    <w:p w14:paraId="03F4D74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art.108 ust. 1 pkt. 6 ustawy Pzp.</w:t>
      </w:r>
    </w:p>
    <w:p w14:paraId="62F3B6E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art.109 ust. 1 pkt. 4 ustawy Pzp.</w:t>
      </w:r>
    </w:p>
    <w:p w14:paraId="3ABC9C4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art.109 ust. 1 pkt. 4 ustawy Pzp.</w:t>
      </w:r>
    </w:p>
    <w:p w14:paraId="70C419E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art.109 ust. 1 pkt. 4 ustawy Pzp.</w:t>
      </w:r>
    </w:p>
    <w:p w14:paraId="2E2258A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art.109 ust. 1 pkt. 4 ustawy Pzp.</w:t>
      </w:r>
    </w:p>
    <w:p w14:paraId="76B0FA0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art.109 ust. 1 pkt. 4 ustawy Pzp.</w:t>
      </w:r>
    </w:p>
    <w:p w14:paraId="7E74D12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art.109 ust. 1 pkt. 4 ustawy Pzp.</w:t>
      </w:r>
    </w:p>
    <w:p w14:paraId="6289CE9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5BC8557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F82CC4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7E3C62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Dostawa ortopedycznego robota chirurgicznego wraz z wyposażeniem oraz dostawami sukcesywnymi materiałów zużywalnych / jednorazowych</w:t>
      </w:r>
    </w:p>
    <w:p w14:paraId="083520B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ortopedycznego robota chirurgicznego wraz z wyposażeniem oraz dostawami sukcesywnymi materiałów zużywalnych / jednorazowych zgodnie ze specyfikacją techniczną i zapisami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9347A1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D3DE43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A68A34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1B4D263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9C0388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5E45EC2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 produkty medyczne, 33169000 Przyrządy chirurgiczne, 33162000 Urządzenia i przyrządy używane na salach operacyjnych</w:t>
      </w:r>
    </w:p>
    <w:p w14:paraId="3B82B03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FAE684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E4084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1F198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F23730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00220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25CAD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2E2AC3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CF4755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790 Dni</w:t>
      </w:r>
    </w:p>
    <w:p w14:paraId="09477F6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6EE52C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E9778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A9B3F7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0DEDF1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121894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E9BBE9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EC366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EFA4B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8F139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2EE6AA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7E85E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3E2A9DB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9B1B5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7497D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F21F0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489BFB3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3008FD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79B33C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1E18C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A89E8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70D7330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"Okres gwarancji" liczone będą w następujący sposób: Okres gwarancji Liczba punktów = (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max2 ) * 100 * 30 % gdzie: -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podana w ofercie -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0ACE83E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A6999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255E446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73703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A4184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Ocena techniczna</w:t>
      </w:r>
    </w:p>
    <w:p w14:paraId="2943A3F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"Ocena techniczna" liczone będą w następujący sposób: Ocena techniczna - punkty techniczne będą przyznawane wg punktacji podanej w specyfikacji technicznej Liczba punktów = (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5 % gdzie: -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liczba uzyskanych punktów w ofercie -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liczba uzyskanych punktów w ofercie spośród wszystkich ofert</w:t>
      </w:r>
    </w:p>
    <w:p w14:paraId="22F654E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25279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5</w:t>
      </w:r>
    </w:p>
    <w:p w14:paraId="2F6DCD9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74D0A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7481DB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 urządzenia</w:t>
      </w:r>
    </w:p>
    <w:p w14:paraId="6EA6B8C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 urządzenia" liczone będą w następujący sposób: Termin dostawy urządzenia Liczba punktów = (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min4/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war4 ) * 100 * 5 % gdzie: -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min4 - najniższa spośród wszystkich ofert -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war4 - podana w ofercie</w:t>
      </w:r>
    </w:p>
    <w:p w14:paraId="0D0C6F4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15084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5</w:t>
      </w:r>
    </w:p>
    <w:p w14:paraId="0EEB425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5CE66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01209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4B386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BFF6FB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A729EB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3F169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15359D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5AAF1B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A07B42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496F84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EBEEFB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30/07/2026 08:00:00 (UTC+02:00) czas wschodnioeuropejski, czas środkowoeuropejski letni</w:t>
      </w:r>
    </w:p>
    <w:p w14:paraId="6E0017D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49FD92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35A16E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30/07/2026 08:30:00 (UTC+02:00) czas wschodnioeuropejski, czas środkowoeuropejski letni</w:t>
      </w:r>
    </w:p>
    <w:p w14:paraId="422DEAD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6983B0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1CBF4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EE3C55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156DD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822F08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F72195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434EE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C3729D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4D1E3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88CAFD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841D99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145489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FE1D9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4C33E0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12F16D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</w:t>
      </w: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68B10F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016A0B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7F1F21F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866795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E48DA4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BEB15C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4AE9B4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986D60B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54CE3E2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7328BE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92DBF76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B16E19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D941E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4C167B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1AB5F2C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12EFDA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2C5CF3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9AAC81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7CA2DA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2458A8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0E10FE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52AD73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79061A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900294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263D47B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7F4072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7C413D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83974A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3BD1F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54F331F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0D0E23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884349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2E3984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055671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761610E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DD545A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9DE034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5301B4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1922E0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FFCC33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ED92A4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C37F32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ul. Krucza 36 / Wspólna 6</w:t>
      </w:r>
    </w:p>
    <w:p w14:paraId="7979228B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72F31D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898155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D779DB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E98F8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B33199C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26A560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4733B0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3ABAE3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C4762C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9A61EC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4F68225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FEB897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A05E477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F1A664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2D34CD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0F38E9F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5758D1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9B280B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000289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0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12239B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90C1969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1" w:history="1">
        <w:r w:rsidRPr="00646E8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037B062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3764DE8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C97A0DD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5003011F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29a9bb0b-8499-4f43-b49f-dea938d3d5f3  -  01</w:t>
      </w:r>
    </w:p>
    <w:p w14:paraId="1E4EDD01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281219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EF185F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2AD9A8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29/06/2026 11:15:25 (UTC+00:00) czas zachodnioeuropejski, GMT</w:t>
      </w:r>
    </w:p>
    <w:p w14:paraId="690E8E5A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E77F3F3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446719-2026</w:t>
      </w:r>
    </w:p>
    <w:p w14:paraId="0AD6A8A4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123/2026</w:t>
      </w:r>
    </w:p>
    <w:p w14:paraId="68105CB0" w14:textId="77777777" w:rsidR="00646E84" w:rsidRPr="00646E84" w:rsidRDefault="00646E84" w:rsidP="00646E8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46E8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30/06/2026</w:t>
      </w:r>
    </w:p>
    <w:p w14:paraId="137ABC3B" w14:textId="77777777" w:rsidR="0055213F" w:rsidRDefault="0055213F" w:rsidP="00646E84">
      <w:pPr>
        <w:rPr>
          <w:rFonts w:ascii="Arial Narrow" w:hAnsi="Arial Narrow"/>
        </w:rPr>
      </w:pPr>
    </w:p>
    <w:p w14:paraId="726A25A9" w14:textId="7C0B9DA2" w:rsidR="00646E84" w:rsidRDefault="00646E84" w:rsidP="00646E84">
      <w:pPr>
        <w:tabs>
          <w:tab w:val="left" w:pos="672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191172F2" w14:textId="77777777" w:rsidR="00646E84" w:rsidRPr="00646E84" w:rsidRDefault="00646E84" w:rsidP="00646E84">
      <w:pPr>
        <w:rPr>
          <w:rFonts w:ascii="Arial Narrow" w:hAnsi="Arial Narrow"/>
        </w:rPr>
      </w:pPr>
    </w:p>
    <w:p w14:paraId="5EDC25F4" w14:textId="77777777" w:rsidR="00646E84" w:rsidRPr="00646E84" w:rsidRDefault="00646E84" w:rsidP="00646E84">
      <w:pPr>
        <w:rPr>
          <w:rFonts w:ascii="Arial Narrow" w:hAnsi="Arial Narrow"/>
        </w:rPr>
      </w:pPr>
    </w:p>
    <w:p w14:paraId="73907A75" w14:textId="77777777" w:rsidR="00646E84" w:rsidRPr="00646E84" w:rsidRDefault="00646E84" w:rsidP="00646E84">
      <w:pPr>
        <w:rPr>
          <w:rFonts w:ascii="Arial Narrow" w:hAnsi="Arial Narrow"/>
        </w:rPr>
      </w:pPr>
    </w:p>
    <w:p w14:paraId="6A3EC015" w14:textId="77777777" w:rsidR="00646E84" w:rsidRPr="00646E84" w:rsidRDefault="00646E84" w:rsidP="00646E84">
      <w:pPr>
        <w:rPr>
          <w:rFonts w:ascii="Arial Narrow" w:hAnsi="Arial Narrow"/>
        </w:rPr>
      </w:pPr>
    </w:p>
    <w:p w14:paraId="51653264" w14:textId="77777777" w:rsidR="00646E84" w:rsidRPr="00646E84" w:rsidRDefault="00646E84" w:rsidP="00646E84">
      <w:pPr>
        <w:rPr>
          <w:rFonts w:ascii="Arial Narrow" w:hAnsi="Arial Narrow"/>
        </w:rPr>
      </w:pPr>
    </w:p>
    <w:p w14:paraId="035217C9" w14:textId="77777777" w:rsidR="00646E84" w:rsidRDefault="00646E84" w:rsidP="00646E84">
      <w:pPr>
        <w:spacing w:after="0"/>
        <w:rPr>
          <w:rFonts w:ascii="Arial Narrow" w:hAnsi="Arial Narrow"/>
        </w:rPr>
      </w:pPr>
    </w:p>
    <w:p w14:paraId="36BEB67D" w14:textId="64E03C44" w:rsidR="00646E84" w:rsidRDefault="00646E84" w:rsidP="00646E84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2156E5F2" w14:textId="196305BB" w:rsidR="00646E84" w:rsidRDefault="00646E84" w:rsidP="00646E84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4AD5F868" w14:textId="226BAAF9" w:rsidR="00646E84" w:rsidRDefault="00646E84" w:rsidP="00646E84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2" w:history="1">
        <w:r w:rsidRPr="00D74902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93601AA" w14:textId="0DEB4B59" w:rsidR="00646E84" w:rsidRPr="00646E84" w:rsidRDefault="00646E84" w:rsidP="00646E84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2026-06-30</w:t>
      </w:r>
    </w:p>
    <w:sectPr w:rsidR="00646E84" w:rsidRPr="00646E84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92588" w14:textId="77777777" w:rsidR="00873076" w:rsidRDefault="00873076" w:rsidP="00646E84">
      <w:pPr>
        <w:spacing w:after="0" w:line="240" w:lineRule="auto"/>
      </w:pPr>
      <w:r>
        <w:separator/>
      </w:r>
    </w:p>
  </w:endnote>
  <w:endnote w:type="continuationSeparator" w:id="0">
    <w:p w14:paraId="7460C7EC" w14:textId="77777777" w:rsidR="00873076" w:rsidRDefault="00873076" w:rsidP="0064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BD8DB" w14:textId="77777777" w:rsidR="00873076" w:rsidRDefault="00873076" w:rsidP="00646E84">
      <w:pPr>
        <w:spacing w:after="0" w:line="240" w:lineRule="auto"/>
      </w:pPr>
      <w:r>
        <w:separator/>
      </w:r>
    </w:p>
  </w:footnote>
  <w:footnote w:type="continuationSeparator" w:id="0">
    <w:p w14:paraId="33FB61D2" w14:textId="77777777" w:rsidR="00873076" w:rsidRDefault="00873076" w:rsidP="0064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43B47" w14:textId="1F65F445" w:rsidR="00646E84" w:rsidRDefault="00646E84">
    <w:pPr>
      <w:pStyle w:val="Nagwek"/>
    </w:pPr>
    <w:r>
      <w:t>Sprawa nr 71/2026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E84"/>
    <w:rsid w:val="001915D9"/>
    <w:rsid w:val="002E64A7"/>
    <w:rsid w:val="0055213F"/>
    <w:rsid w:val="00646E84"/>
    <w:rsid w:val="0087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EE1D"/>
  <w15:chartTrackingRefBased/>
  <w15:docId w15:val="{2B3D3A76-99A0-4AC3-AB88-395333F1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6E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6E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E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6E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6E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6E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6E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6E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6E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E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6E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E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6E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6E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6E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6E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6E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6E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6E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6E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6E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6E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6E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6E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6E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6E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6E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6E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6E8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4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E84"/>
  </w:style>
  <w:style w:type="paragraph" w:styleId="Stopka">
    <w:name w:val="footer"/>
    <w:basedOn w:val="Normalny"/>
    <w:link w:val="StopkaZnak"/>
    <w:uiPriority w:val="99"/>
    <w:unhideWhenUsed/>
    <w:rsid w:val="0064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E84"/>
  </w:style>
  <w:style w:type="character" w:styleId="Hipercze">
    <w:name w:val="Hyperlink"/>
    <w:basedOn w:val="Domylnaczcionkaakapitu"/>
    <w:uiPriority w:val="99"/>
    <w:unhideWhenUsed/>
    <w:rsid w:val="00646E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6E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header" Target="header1.xml"/><Relationship Id="rId10" Type="http://schemas.openxmlformats.org/officeDocument/2006/relationships/hyperlink" Target="mailto:kornowska4835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hyperlink" Target="mailto:kornowska4835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2372</Words>
  <Characters>14234</Characters>
  <Application>Microsoft Office Word</Application>
  <DocSecurity>0</DocSecurity>
  <Lines>118</Lines>
  <Paragraphs>33</Paragraphs>
  <ScaleCrop>false</ScaleCrop>
  <Company/>
  <LinksUpToDate>false</LinksUpToDate>
  <CharactersWithSpaces>16573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2026-06-30T10:35:00Z</dcterms:created>
  <dcterms:modified xsi:type="dcterms:W3CDTF">2026-06-30T10:38:00Z</dcterms:modified>
</cp:coreProperties>
</file>