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152D8BA5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812C2">
        <w:rPr>
          <w:b/>
        </w:rPr>
        <w:t xml:space="preserve">dostawa materiałów ściernych, polerskich oraz części do urządzeń służących do preparatyki metalograficznej dla </w:t>
      </w:r>
      <w:proofErr w:type="spellStart"/>
      <w:r w:rsidR="00C812C2">
        <w:rPr>
          <w:b/>
        </w:rPr>
        <w:t>WIMiC</w:t>
      </w:r>
      <w:proofErr w:type="spellEnd"/>
      <w:r w:rsidR="00C812C2">
        <w:rPr>
          <w:b/>
        </w:rPr>
        <w:t xml:space="preserve"> - KC-zp.272-263/21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6B9F"/>
    <w:rsid w:val="00B90E42"/>
    <w:rsid w:val="00BB0C3C"/>
    <w:rsid w:val="00C014B5"/>
    <w:rsid w:val="00C113BF"/>
    <w:rsid w:val="00C4103F"/>
    <w:rsid w:val="00C57DEB"/>
    <w:rsid w:val="00C737A7"/>
    <w:rsid w:val="00C81012"/>
    <w:rsid w:val="00C812C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2021-08-04T11:06:00Z</dcterms:created>
  <dcterms:modified xsi:type="dcterms:W3CDTF">2021-08-04T11:06:00Z</dcterms:modified>
</cp:coreProperties>
</file>